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E67B2" w14:textId="76ED8234" w:rsidR="00151261" w:rsidRPr="00E30F11" w:rsidRDefault="00151261" w:rsidP="00151261">
      <w:pPr>
        <w:tabs>
          <w:tab w:val="left" w:pos="1630"/>
          <w:tab w:val="left" w:pos="5245"/>
        </w:tabs>
        <w:spacing w:after="0" w:line="240" w:lineRule="auto"/>
        <w:jc w:val="both"/>
        <w:rPr>
          <w:rFonts w:ascii="Arial" w:eastAsia="DINPro" w:hAnsi="Arial" w:cs="Arial"/>
          <w:noProof/>
          <w:sz w:val="24"/>
          <w:szCs w:val="24"/>
          <w:lang w:val="et-EE"/>
        </w:rPr>
      </w:pPr>
      <w:r w:rsidRPr="00E30F11">
        <w:rPr>
          <w:rFonts w:ascii="Arial" w:eastAsia="DINPro" w:hAnsi="Arial" w:cs="Arial"/>
          <w:noProof/>
          <w:sz w:val="24"/>
          <w:szCs w:val="24"/>
          <w:lang w:val="et-EE"/>
        </w:rPr>
        <w:t>Majandus- ja Kommunikatsiooniministeerium</w:t>
      </w:r>
      <w:r w:rsidRPr="00E30F11">
        <w:rPr>
          <w:rFonts w:ascii="Arial" w:eastAsia="DINPro" w:hAnsi="Arial" w:cs="Arial"/>
          <w:noProof/>
          <w:sz w:val="24"/>
          <w:szCs w:val="24"/>
          <w:lang w:val="et-EE"/>
        </w:rPr>
        <w:tab/>
        <w:t>Teie 10.04.2024 nr 2-2/1016-1</w:t>
      </w:r>
    </w:p>
    <w:p w14:paraId="291CF9D2" w14:textId="156BF44E" w:rsidR="00151261" w:rsidRPr="00E30F11" w:rsidRDefault="00D71F2F" w:rsidP="00151261">
      <w:pPr>
        <w:tabs>
          <w:tab w:val="left" w:pos="5245"/>
        </w:tabs>
        <w:spacing w:after="0" w:line="240" w:lineRule="auto"/>
        <w:jc w:val="both"/>
        <w:rPr>
          <w:rFonts w:ascii="Arial" w:eastAsia="DINPro" w:hAnsi="Arial" w:cs="Arial"/>
          <w:noProof/>
          <w:sz w:val="24"/>
          <w:szCs w:val="24"/>
          <w:lang w:val="et-EE"/>
        </w:rPr>
      </w:pPr>
      <w:hyperlink r:id="rId8" w:history="1">
        <w:r w:rsidR="00151261" w:rsidRPr="00E30F11">
          <w:rPr>
            <w:rStyle w:val="Hyperlink"/>
            <w:rFonts w:ascii="Arial" w:eastAsia="DINPro" w:hAnsi="Arial" w:cs="Arial"/>
            <w:noProof/>
            <w:sz w:val="24"/>
            <w:szCs w:val="24"/>
            <w:lang w:val="et-EE"/>
          </w:rPr>
          <w:t>info@mkm.ee</w:t>
        </w:r>
      </w:hyperlink>
      <w:r w:rsidR="00151261" w:rsidRPr="00E30F11">
        <w:rPr>
          <w:rFonts w:ascii="Arial" w:eastAsia="DINPro" w:hAnsi="Arial" w:cs="Arial"/>
          <w:noProof/>
          <w:sz w:val="24"/>
          <w:szCs w:val="24"/>
          <w:lang w:val="et-EE"/>
        </w:rPr>
        <w:t xml:space="preserve"> </w:t>
      </w:r>
      <w:r w:rsidR="00151261" w:rsidRPr="00E30F11">
        <w:rPr>
          <w:rFonts w:ascii="Arial" w:eastAsia="DINPro" w:hAnsi="Arial" w:cs="Arial"/>
          <w:noProof/>
          <w:sz w:val="24"/>
          <w:szCs w:val="24"/>
          <w:lang w:val="et-EE"/>
        </w:rPr>
        <w:tab/>
        <w:t xml:space="preserve">Meie </w:t>
      </w:r>
      <w:r w:rsidR="00563B20" w:rsidRPr="00E30F11">
        <w:rPr>
          <w:rFonts w:ascii="Arial" w:eastAsia="DINPro" w:hAnsi="Arial" w:cs="Arial"/>
          <w:noProof/>
          <w:sz w:val="24"/>
          <w:szCs w:val="24"/>
          <w:lang w:val="et-EE"/>
        </w:rPr>
        <w:t>07</w:t>
      </w:r>
      <w:r w:rsidR="00151261" w:rsidRPr="00E30F11">
        <w:rPr>
          <w:rFonts w:ascii="Arial" w:eastAsia="DINPro" w:hAnsi="Arial" w:cs="Arial"/>
          <w:noProof/>
          <w:sz w:val="24"/>
          <w:szCs w:val="24"/>
          <w:lang w:val="et-EE"/>
        </w:rPr>
        <w:t>.0</w:t>
      </w:r>
      <w:r w:rsidR="00563B20" w:rsidRPr="00E30F11">
        <w:rPr>
          <w:rFonts w:ascii="Arial" w:eastAsia="DINPro" w:hAnsi="Arial" w:cs="Arial"/>
          <w:noProof/>
          <w:sz w:val="24"/>
          <w:szCs w:val="24"/>
          <w:lang w:val="et-EE"/>
        </w:rPr>
        <w:t>5</w:t>
      </w:r>
      <w:r w:rsidR="00151261" w:rsidRPr="00E30F11">
        <w:rPr>
          <w:rFonts w:ascii="Arial" w:eastAsia="DINPro" w:hAnsi="Arial" w:cs="Arial"/>
          <w:noProof/>
          <w:sz w:val="24"/>
          <w:szCs w:val="24"/>
          <w:lang w:val="et-EE"/>
        </w:rPr>
        <w:t>.202</w:t>
      </w:r>
      <w:r w:rsidR="00563B20" w:rsidRPr="00E30F11">
        <w:rPr>
          <w:rFonts w:ascii="Arial" w:eastAsia="DINPro" w:hAnsi="Arial" w:cs="Arial"/>
          <w:noProof/>
          <w:sz w:val="24"/>
          <w:szCs w:val="24"/>
          <w:lang w:val="et-EE"/>
        </w:rPr>
        <w:t>3</w:t>
      </w:r>
      <w:r w:rsidR="00151261" w:rsidRPr="00E30F11">
        <w:rPr>
          <w:rFonts w:ascii="Arial" w:eastAsia="DINPro" w:hAnsi="Arial" w:cs="Arial"/>
          <w:noProof/>
          <w:sz w:val="24"/>
          <w:szCs w:val="24"/>
          <w:lang w:val="et-EE"/>
        </w:rPr>
        <w:t xml:space="preserve"> nr 4/</w:t>
      </w:r>
      <w:r w:rsidR="00BD4853">
        <w:rPr>
          <w:rFonts w:ascii="Arial" w:eastAsia="DINPro" w:hAnsi="Arial" w:cs="Arial"/>
          <w:noProof/>
          <w:sz w:val="24"/>
          <w:szCs w:val="24"/>
          <w:lang w:val="et-EE"/>
        </w:rPr>
        <w:t>79</w:t>
      </w:r>
    </w:p>
    <w:p w14:paraId="57A8C52E" w14:textId="77777777" w:rsidR="00151261" w:rsidRPr="00E30F11" w:rsidRDefault="00151261" w:rsidP="00151261">
      <w:pPr>
        <w:spacing w:after="0" w:line="240" w:lineRule="auto"/>
        <w:jc w:val="both"/>
        <w:rPr>
          <w:rFonts w:ascii="Arial" w:eastAsia="DINPro" w:hAnsi="Arial" w:cs="Arial"/>
          <w:noProof/>
          <w:sz w:val="24"/>
          <w:szCs w:val="24"/>
          <w:lang w:val="et-EE"/>
        </w:rPr>
      </w:pPr>
    </w:p>
    <w:p w14:paraId="00A15207" w14:textId="77777777" w:rsidR="00151261" w:rsidRPr="00E30F11" w:rsidRDefault="00151261" w:rsidP="00151261">
      <w:pPr>
        <w:spacing w:after="0" w:line="240" w:lineRule="auto"/>
        <w:jc w:val="both"/>
        <w:rPr>
          <w:rFonts w:ascii="Arial" w:eastAsia="DINPro" w:hAnsi="Arial" w:cs="Arial"/>
          <w:noProof/>
          <w:sz w:val="24"/>
          <w:szCs w:val="24"/>
          <w:lang w:val="et-EE"/>
        </w:rPr>
      </w:pPr>
    </w:p>
    <w:p w14:paraId="47D481A0" w14:textId="77777777" w:rsidR="00151261" w:rsidRPr="00E30F11" w:rsidRDefault="00151261" w:rsidP="00151261">
      <w:pPr>
        <w:spacing w:after="0" w:line="240" w:lineRule="auto"/>
        <w:jc w:val="both"/>
        <w:rPr>
          <w:rFonts w:ascii="Arial" w:eastAsia="DINPro" w:hAnsi="Arial" w:cs="Arial"/>
          <w:noProof/>
          <w:sz w:val="24"/>
          <w:szCs w:val="24"/>
          <w:lang w:val="et-EE"/>
        </w:rPr>
      </w:pPr>
    </w:p>
    <w:p w14:paraId="3E7DC1F9" w14:textId="77777777" w:rsidR="00151261" w:rsidRPr="00E30F11" w:rsidRDefault="00151261" w:rsidP="00151261">
      <w:pPr>
        <w:spacing w:after="0" w:line="240" w:lineRule="auto"/>
        <w:jc w:val="both"/>
        <w:rPr>
          <w:rFonts w:ascii="Arial" w:eastAsia="DINPro" w:hAnsi="Arial" w:cs="Arial"/>
          <w:noProof/>
          <w:sz w:val="24"/>
          <w:szCs w:val="24"/>
          <w:lang w:val="et-EE"/>
        </w:rPr>
      </w:pPr>
    </w:p>
    <w:p w14:paraId="79875382" w14:textId="77777777" w:rsidR="00151261" w:rsidRPr="00E30F11" w:rsidRDefault="00151261" w:rsidP="00151261">
      <w:pPr>
        <w:spacing w:after="0" w:line="240" w:lineRule="auto"/>
        <w:jc w:val="both"/>
        <w:rPr>
          <w:rFonts w:ascii="Arial" w:eastAsia="DINPro" w:hAnsi="Arial" w:cs="Arial"/>
          <w:noProof/>
          <w:sz w:val="24"/>
          <w:szCs w:val="24"/>
          <w:lang w:val="et-EE"/>
        </w:rPr>
      </w:pPr>
    </w:p>
    <w:p w14:paraId="218F370C" w14:textId="77777777" w:rsidR="00151261" w:rsidRPr="00E30F11" w:rsidRDefault="00151261" w:rsidP="00151261">
      <w:pPr>
        <w:spacing w:after="0" w:line="240" w:lineRule="auto"/>
        <w:jc w:val="both"/>
        <w:rPr>
          <w:rFonts w:ascii="Arial" w:eastAsia="DINPro" w:hAnsi="Arial" w:cs="Arial"/>
          <w:b/>
          <w:bCs/>
          <w:noProof/>
          <w:sz w:val="24"/>
          <w:szCs w:val="24"/>
          <w:lang w:val="et-EE"/>
        </w:rPr>
      </w:pPr>
      <w:r w:rsidRPr="00E30F11">
        <w:rPr>
          <w:rFonts w:ascii="Arial" w:eastAsia="DINPro" w:hAnsi="Arial" w:cs="Arial"/>
          <w:b/>
          <w:noProof/>
          <w:sz w:val="24"/>
          <w:szCs w:val="24"/>
          <w:lang w:val="et-EE"/>
        </w:rPr>
        <w:t>Arvamuse esitamine t</w:t>
      </w:r>
      <w:r w:rsidRPr="00E30F11">
        <w:rPr>
          <w:rFonts w:ascii="Arial" w:eastAsia="DINPro" w:hAnsi="Arial" w:cs="Arial"/>
          <w:b/>
          <w:bCs/>
          <w:noProof/>
          <w:sz w:val="24"/>
          <w:szCs w:val="24"/>
          <w:lang w:val="et-EE"/>
        </w:rPr>
        <w:t xml:space="preserve">öötuskindlustuse seaduse ja </w:t>
      </w:r>
    </w:p>
    <w:p w14:paraId="390C9F3A" w14:textId="77777777" w:rsidR="00151261" w:rsidRPr="00E30F11" w:rsidRDefault="00151261" w:rsidP="00151261">
      <w:pPr>
        <w:spacing w:after="0" w:line="240" w:lineRule="auto"/>
        <w:jc w:val="both"/>
        <w:rPr>
          <w:rFonts w:ascii="Arial" w:eastAsia="DINPro" w:hAnsi="Arial" w:cs="Arial"/>
          <w:b/>
          <w:bCs/>
          <w:noProof/>
          <w:sz w:val="24"/>
          <w:szCs w:val="24"/>
          <w:lang w:val="et-EE"/>
        </w:rPr>
      </w:pPr>
      <w:r w:rsidRPr="00E30F11">
        <w:rPr>
          <w:rFonts w:ascii="Arial" w:eastAsia="DINPro" w:hAnsi="Arial" w:cs="Arial"/>
          <w:b/>
          <w:bCs/>
          <w:noProof/>
          <w:sz w:val="24"/>
          <w:szCs w:val="24"/>
          <w:lang w:val="et-EE"/>
        </w:rPr>
        <w:t xml:space="preserve">sellega seonduvalt teiste seaduste muutmise seaduse </w:t>
      </w:r>
    </w:p>
    <w:p w14:paraId="1BA4A2C9" w14:textId="27B831B0" w:rsidR="00151261" w:rsidRPr="00E30F11" w:rsidRDefault="00151261" w:rsidP="00151261">
      <w:pPr>
        <w:spacing w:after="0" w:line="240" w:lineRule="auto"/>
        <w:jc w:val="both"/>
        <w:rPr>
          <w:rFonts w:ascii="Arial" w:eastAsia="DINPro" w:hAnsi="Arial" w:cs="Arial"/>
          <w:b/>
          <w:noProof/>
          <w:sz w:val="24"/>
          <w:szCs w:val="24"/>
          <w:lang w:val="et-EE"/>
        </w:rPr>
      </w:pPr>
      <w:r w:rsidRPr="00E30F11">
        <w:rPr>
          <w:rFonts w:ascii="Arial" w:eastAsia="DINPro" w:hAnsi="Arial" w:cs="Arial"/>
          <w:b/>
          <w:bCs/>
          <w:noProof/>
          <w:sz w:val="24"/>
          <w:szCs w:val="24"/>
          <w:lang w:val="et-EE"/>
        </w:rPr>
        <w:t>eelnõu kohta</w:t>
      </w:r>
    </w:p>
    <w:p w14:paraId="1605B052" w14:textId="77777777" w:rsidR="00151261" w:rsidRPr="00E30F11" w:rsidRDefault="00151261" w:rsidP="00151261">
      <w:pPr>
        <w:spacing w:after="0" w:line="240" w:lineRule="auto"/>
        <w:jc w:val="both"/>
        <w:rPr>
          <w:rFonts w:ascii="Arial" w:eastAsia="DINPro" w:hAnsi="Arial" w:cs="Arial"/>
          <w:noProof/>
          <w:sz w:val="24"/>
          <w:szCs w:val="24"/>
          <w:lang w:val="et-EE"/>
        </w:rPr>
      </w:pPr>
    </w:p>
    <w:p w14:paraId="7349EF36" w14:textId="72F622D1" w:rsidR="00151261" w:rsidRPr="00E30F11" w:rsidRDefault="00151261" w:rsidP="00151261">
      <w:pPr>
        <w:spacing w:after="0" w:line="240" w:lineRule="auto"/>
        <w:jc w:val="both"/>
        <w:rPr>
          <w:rFonts w:ascii="Arial" w:eastAsia="DINPro" w:hAnsi="Arial" w:cs="Arial"/>
          <w:noProof/>
          <w:sz w:val="24"/>
          <w:szCs w:val="24"/>
          <w:lang w:val="et-EE"/>
        </w:rPr>
      </w:pPr>
      <w:r w:rsidRPr="00E30F11">
        <w:rPr>
          <w:rFonts w:ascii="Arial" w:eastAsia="DINPro" w:hAnsi="Arial" w:cs="Arial"/>
          <w:noProof/>
          <w:sz w:val="24"/>
          <w:szCs w:val="24"/>
          <w:lang w:val="et-EE"/>
        </w:rPr>
        <w:t>Lugupeetud Tiit Riisalo!</w:t>
      </w:r>
    </w:p>
    <w:p w14:paraId="766AD802" w14:textId="77777777" w:rsidR="00151261" w:rsidRPr="00E30F11" w:rsidRDefault="00151261" w:rsidP="00151261">
      <w:pPr>
        <w:spacing w:after="0" w:line="240" w:lineRule="auto"/>
        <w:jc w:val="both"/>
        <w:rPr>
          <w:rFonts w:ascii="Arial" w:eastAsia="DINPro" w:hAnsi="Arial" w:cs="Arial"/>
          <w:noProof/>
          <w:sz w:val="24"/>
          <w:szCs w:val="24"/>
          <w:lang w:val="et-EE"/>
        </w:rPr>
      </w:pPr>
    </w:p>
    <w:p w14:paraId="502C790A" w14:textId="254DFEB5" w:rsidR="00151261" w:rsidRPr="00E30F11" w:rsidRDefault="00151261" w:rsidP="00216FD8">
      <w:pPr>
        <w:spacing w:before="120" w:after="0" w:line="240" w:lineRule="auto"/>
        <w:jc w:val="both"/>
        <w:rPr>
          <w:rFonts w:ascii="Arial" w:eastAsia="DINPro" w:hAnsi="Arial" w:cs="Arial"/>
          <w:noProof/>
          <w:sz w:val="24"/>
          <w:szCs w:val="24"/>
          <w:lang w:val="et-EE"/>
        </w:rPr>
      </w:pPr>
      <w:r w:rsidRPr="00E30F11">
        <w:rPr>
          <w:rFonts w:ascii="Arial" w:eastAsia="DINPro" w:hAnsi="Arial" w:cs="Arial"/>
          <w:noProof/>
          <w:sz w:val="24"/>
          <w:szCs w:val="24"/>
          <w:lang w:val="et-EE"/>
        </w:rPr>
        <w:t xml:space="preserve">Eesti Kaubandus-Tööstuskoda (edaspidi: Kaubanduskoda) </w:t>
      </w:r>
      <w:r w:rsidR="007560B9" w:rsidRPr="00E30F11">
        <w:rPr>
          <w:rFonts w:ascii="Arial" w:eastAsia="DINPro" w:hAnsi="Arial" w:cs="Arial"/>
          <w:noProof/>
          <w:sz w:val="24"/>
          <w:szCs w:val="24"/>
          <w:lang w:val="et-EE"/>
        </w:rPr>
        <w:t xml:space="preserve">tänab </w:t>
      </w:r>
      <w:r w:rsidRPr="00E30F11">
        <w:rPr>
          <w:rFonts w:ascii="Arial" w:eastAsia="DINPro" w:hAnsi="Arial" w:cs="Arial"/>
          <w:noProof/>
          <w:sz w:val="24"/>
          <w:szCs w:val="24"/>
          <w:lang w:val="et-EE"/>
        </w:rPr>
        <w:t>Majandus- ja Kommunikatsiooniministeeriumit võimaluse eest avaldada arvamust töötuskindlustuse seaduse ja sellega seonduvalt teiste seaduste muutmise seaduse eelnõu kohta</w:t>
      </w:r>
      <w:r w:rsidR="00CB4B7A" w:rsidRPr="00E30F11">
        <w:rPr>
          <w:rFonts w:ascii="Arial" w:eastAsia="DINPro" w:hAnsi="Arial" w:cs="Arial"/>
          <w:noProof/>
          <w:sz w:val="24"/>
          <w:szCs w:val="24"/>
          <w:lang w:val="et-EE"/>
        </w:rPr>
        <w:t>,</w:t>
      </w:r>
      <w:r w:rsidR="004B3A58" w:rsidRPr="00E30F11">
        <w:rPr>
          <w:rFonts w:ascii="Arial" w:eastAsia="DINPro" w:hAnsi="Arial" w:cs="Arial"/>
          <w:noProof/>
          <w:sz w:val="24"/>
          <w:szCs w:val="24"/>
          <w:lang w:val="et-EE"/>
        </w:rPr>
        <w:t xml:space="preserve"> millega luuakse töötuskindlustussüsteemi lisaks töötuskindlustushüvitisele uus hüvitise liik – baasmääras töötuskindlustushüvitis ning senine töötutoetus kaob. Muudatuse tulemusel makstakse töö kaotuse korral kas tänast sissetulekupõhist töötuskindlustushüvitist või baasmääras töötuskindlustushüvitist.</w:t>
      </w:r>
      <w:r w:rsidRPr="00E30F11">
        <w:rPr>
          <w:rFonts w:ascii="Arial" w:eastAsia="DINPro" w:hAnsi="Arial" w:cs="Arial"/>
          <w:noProof/>
          <w:sz w:val="24"/>
          <w:szCs w:val="24"/>
          <w:lang w:val="et-EE"/>
        </w:rPr>
        <w:t xml:space="preserve"> Oleme eelnõuga tutvunud ning edastame järgnevalt Kaubanduskoja seisukohad: </w:t>
      </w:r>
    </w:p>
    <w:p w14:paraId="0E023A82" w14:textId="6B6E5ADB" w:rsidR="009814A1" w:rsidRPr="00E30F11" w:rsidRDefault="009814A1" w:rsidP="00E30F11">
      <w:pPr>
        <w:pStyle w:val="ListParagraph"/>
        <w:spacing w:before="120" w:after="0" w:line="240" w:lineRule="auto"/>
        <w:ind w:left="360"/>
        <w:jc w:val="both"/>
        <w:rPr>
          <w:rFonts w:ascii="Arial" w:eastAsia="DINPro" w:hAnsi="Arial" w:cs="Arial"/>
          <w:noProof/>
          <w:sz w:val="24"/>
          <w:szCs w:val="24"/>
          <w:lang w:val="et-EE"/>
        </w:rPr>
      </w:pPr>
    </w:p>
    <w:p w14:paraId="15112900" w14:textId="05CD04A4" w:rsidR="00742BD2" w:rsidRPr="00E30F11" w:rsidRDefault="00742BD2" w:rsidP="00742BD2">
      <w:pPr>
        <w:pStyle w:val="ListParagraph"/>
        <w:numPr>
          <w:ilvl w:val="0"/>
          <w:numId w:val="2"/>
        </w:numPr>
        <w:spacing w:before="120" w:after="0" w:line="240" w:lineRule="auto"/>
        <w:jc w:val="both"/>
        <w:rPr>
          <w:rFonts w:ascii="Arial" w:eastAsia="DINPro" w:hAnsi="Arial" w:cs="Arial"/>
          <w:noProof/>
          <w:sz w:val="24"/>
          <w:szCs w:val="24"/>
          <w:lang w:val="et-EE"/>
        </w:rPr>
      </w:pPr>
      <w:r w:rsidRPr="00E30F11">
        <w:rPr>
          <w:rFonts w:ascii="Arial" w:eastAsia="DINPro" w:hAnsi="Arial" w:cs="Arial"/>
          <w:noProof/>
          <w:sz w:val="24"/>
          <w:szCs w:val="24"/>
          <w:lang w:val="et-EE"/>
        </w:rPr>
        <w:t>Töötuskindlustuse seaduse ja sellega seonduvalt teiste seaduste muutmise seaduse  eelnõu § 1 punkt 3 kohaselt on edaspidi töötuskindlustushüvitise liigid sissetulekupõhine ja baasmääras töötuskindlustushüvitis.</w:t>
      </w:r>
      <w:r w:rsidR="009D29B1" w:rsidRPr="00E30F11">
        <w:rPr>
          <w:rFonts w:ascii="Arial" w:eastAsia="DINPro" w:hAnsi="Arial" w:cs="Arial"/>
          <w:noProof/>
          <w:sz w:val="24"/>
          <w:szCs w:val="24"/>
          <w:lang w:val="et-EE"/>
        </w:rPr>
        <w:t xml:space="preserve"> Eelnõu seletuskirjas lk 5</w:t>
      </w:r>
      <w:r w:rsidR="000E6207" w:rsidRPr="00E30F11">
        <w:rPr>
          <w:rFonts w:ascii="Arial" w:eastAsia="DINPro" w:hAnsi="Arial" w:cs="Arial"/>
          <w:noProof/>
          <w:sz w:val="24"/>
          <w:szCs w:val="24"/>
          <w:lang w:val="et-EE"/>
        </w:rPr>
        <w:t xml:space="preserve">7 on kirjas, et baasmääras töötuskindlustushüvitise kehtestamise tõttu kasvavad töötukassa kulud 2025. aastal </w:t>
      </w:r>
      <w:r w:rsidR="000E6207" w:rsidRPr="00E30F11">
        <w:rPr>
          <w:rFonts w:ascii="Arial" w:eastAsia="DINPro" w:hAnsi="Arial" w:cs="Arial"/>
          <w:i/>
          <w:iCs/>
          <w:noProof/>
          <w:sz w:val="24"/>
          <w:szCs w:val="24"/>
          <w:lang w:val="et-EE"/>
        </w:rPr>
        <w:t xml:space="preserve">ca </w:t>
      </w:r>
      <w:r w:rsidR="000E6207" w:rsidRPr="00E30F11">
        <w:rPr>
          <w:rFonts w:ascii="Arial" w:eastAsia="DINPro" w:hAnsi="Arial" w:cs="Arial"/>
          <w:noProof/>
          <w:sz w:val="24"/>
          <w:szCs w:val="24"/>
          <w:lang w:val="et-EE"/>
        </w:rPr>
        <w:t xml:space="preserve">23,2 miljoni euro võrra ning aastatel 2026–2028 </w:t>
      </w:r>
      <w:r w:rsidR="000E6207" w:rsidRPr="00E30F11">
        <w:rPr>
          <w:rFonts w:ascii="Arial" w:eastAsia="DINPro" w:hAnsi="Arial" w:cs="Arial"/>
          <w:i/>
          <w:iCs/>
          <w:noProof/>
          <w:sz w:val="24"/>
          <w:szCs w:val="24"/>
          <w:lang w:val="et-EE"/>
        </w:rPr>
        <w:t xml:space="preserve">ca </w:t>
      </w:r>
      <w:r w:rsidR="000E6207" w:rsidRPr="00E30F11">
        <w:rPr>
          <w:rFonts w:ascii="Arial" w:eastAsia="DINPro" w:hAnsi="Arial" w:cs="Arial"/>
          <w:noProof/>
          <w:sz w:val="24"/>
          <w:szCs w:val="24"/>
          <w:lang w:val="et-EE"/>
        </w:rPr>
        <w:t xml:space="preserve">41,5–47,5 miljoni euro võrra. Baasmääras hüvitise saajate eest makstava sotsiaalmaksu tõttu kasvavad töötukassa kulud 2025. aastal </w:t>
      </w:r>
      <w:r w:rsidR="000E6207" w:rsidRPr="00E30F11">
        <w:rPr>
          <w:rFonts w:ascii="Arial" w:eastAsia="DINPro" w:hAnsi="Arial" w:cs="Arial"/>
          <w:i/>
          <w:iCs/>
          <w:noProof/>
          <w:sz w:val="24"/>
          <w:szCs w:val="24"/>
          <w:lang w:val="et-EE"/>
        </w:rPr>
        <w:t xml:space="preserve">ca </w:t>
      </w:r>
      <w:r w:rsidR="000E6207" w:rsidRPr="00E30F11">
        <w:rPr>
          <w:rFonts w:ascii="Arial" w:eastAsia="DINPro" w:hAnsi="Arial" w:cs="Arial"/>
          <w:noProof/>
          <w:sz w:val="24"/>
          <w:szCs w:val="24"/>
          <w:lang w:val="et-EE"/>
        </w:rPr>
        <w:t xml:space="preserve">3 miljoni euro võrra ning aastatel 2026–2028 </w:t>
      </w:r>
      <w:r w:rsidR="000E6207" w:rsidRPr="00E30F11">
        <w:rPr>
          <w:rFonts w:ascii="Arial" w:eastAsia="DINPro" w:hAnsi="Arial" w:cs="Arial"/>
          <w:i/>
          <w:iCs/>
          <w:noProof/>
          <w:sz w:val="24"/>
          <w:szCs w:val="24"/>
          <w:lang w:val="et-EE"/>
        </w:rPr>
        <w:t xml:space="preserve">ca </w:t>
      </w:r>
      <w:r w:rsidR="000E6207" w:rsidRPr="00E30F11">
        <w:rPr>
          <w:rFonts w:ascii="Arial" w:eastAsia="DINPro" w:hAnsi="Arial" w:cs="Arial"/>
          <w:noProof/>
          <w:sz w:val="24"/>
          <w:szCs w:val="24"/>
          <w:lang w:val="et-EE"/>
        </w:rPr>
        <w:t>5,4–6,2 miljoni euro võrra. Kulude prognoosis ei ole arvestatud käitumusliku mõjuga, mida planeeritud muudatused võivad kaasa tuua. Muudatusega kaasnev töötuskindlustusvahendite kulude kasv eeldab töötuskindlustusvahendite jätkusuutlikkuse tagamiseks ja seadusest tulenevate ülesannete täitmiseks valikute tegemist töötukassa nõukogu poolt, sh võimalikku otsust tõsta töötuskindlustusmakse määra.</w:t>
      </w:r>
    </w:p>
    <w:p w14:paraId="0E8BDE39" w14:textId="77777777" w:rsidR="00742BD2" w:rsidRPr="00E30F11" w:rsidRDefault="00742BD2" w:rsidP="00742BD2">
      <w:pPr>
        <w:pStyle w:val="ListParagraph"/>
        <w:spacing w:before="120" w:after="0" w:line="240" w:lineRule="auto"/>
        <w:ind w:left="360"/>
        <w:jc w:val="both"/>
        <w:rPr>
          <w:rFonts w:ascii="Arial" w:eastAsia="DINPro" w:hAnsi="Arial" w:cs="Arial"/>
          <w:noProof/>
          <w:sz w:val="24"/>
          <w:szCs w:val="24"/>
          <w:lang w:val="et-EE"/>
        </w:rPr>
      </w:pPr>
    </w:p>
    <w:p w14:paraId="50F8E00C" w14:textId="7890BE3C" w:rsidR="00903449" w:rsidRPr="00E30F11" w:rsidRDefault="00B650E5" w:rsidP="00E75D39">
      <w:pPr>
        <w:pStyle w:val="ListParagraph"/>
        <w:spacing w:before="120" w:after="0" w:line="240" w:lineRule="auto"/>
        <w:ind w:left="360"/>
        <w:jc w:val="both"/>
        <w:rPr>
          <w:rFonts w:ascii="Arial" w:eastAsia="DINPro" w:hAnsi="Arial" w:cs="Arial"/>
          <w:noProof/>
          <w:sz w:val="24"/>
          <w:szCs w:val="24"/>
          <w:lang w:val="et-EE"/>
        </w:rPr>
      </w:pPr>
      <w:r w:rsidRPr="00E30F11">
        <w:rPr>
          <w:rFonts w:ascii="Arial" w:eastAsia="DINPro" w:hAnsi="Arial" w:cs="Arial"/>
          <w:noProof/>
          <w:sz w:val="24"/>
          <w:szCs w:val="24"/>
          <w:lang w:val="et-EE"/>
        </w:rPr>
        <w:t>Töötukassat</w:t>
      </w:r>
      <w:r w:rsidR="00903449" w:rsidRPr="00E30F11">
        <w:rPr>
          <w:rFonts w:ascii="Arial" w:eastAsia="DINPro" w:hAnsi="Arial" w:cs="Arial"/>
          <w:noProof/>
          <w:sz w:val="24"/>
          <w:szCs w:val="24"/>
          <w:lang w:val="et-EE"/>
        </w:rPr>
        <w:t xml:space="preserve"> rahastatakse</w:t>
      </w:r>
      <w:r w:rsidRPr="00E30F11">
        <w:rPr>
          <w:rFonts w:ascii="Arial" w:eastAsia="DINPro" w:hAnsi="Arial" w:cs="Arial"/>
          <w:noProof/>
          <w:sz w:val="24"/>
          <w:szCs w:val="24"/>
          <w:lang w:val="et-EE"/>
        </w:rPr>
        <w:t xml:space="preserve"> töötuskindlustusmaksetest ja ilma lisarahastuseta riigieelarvest tuleks töötuskindlustusmakse määra tõsta. </w:t>
      </w:r>
      <w:r w:rsidR="00E75D39" w:rsidRPr="00E30F11">
        <w:rPr>
          <w:rFonts w:ascii="Arial" w:eastAsia="DINPro" w:hAnsi="Arial" w:cs="Arial"/>
          <w:noProof/>
          <w:sz w:val="24"/>
          <w:szCs w:val="24"/>
          <w:lang w:val="et-EE"/>
        </w:rPr>
        <w:t>Seega on olemas reaalne oht järgmiseks maksutõusuks ettevõtetele, kes tänases majandusolukorras on niigi väga suure surve all. Kaubanduskoda on seisukohal, et muudatuste tulemusel ei tohi suureneda töötuskindlustusmakse määr. Töötuskindlustussüsteem tuleks</w:t>
      </w:r>
      <w:r w:rsidR="003225B7" w:rsidRPr="00E30F11">
        <w:rPr>
          <w:rFonts w:ascii="Arial" w:eastAsia="DINPro" w:hAnsi="Arial" w:cs="Arial"/>
          <w:noProof/>
          <w:sz w:val="24"/>
          <w:szCs w:val="24"/>
          <w:lang w:val="et-EE"/>
        </w:rPr>
        <w:t xml:space="preserve"> Kaubanduskoja hinnangul vaadata üle</w:t>
      </w:r>
      <w:r w:rsidR="00E75D39" w:rsidRPr="00E30F11">
        <w:rPr>
          <w:rFonts w:ascii="Arial" w:eastAsia="DINPro" w:hAnsi="Arial" w:cs="Arial"/>
          <w:noProof/>
          <w:sz w:val="24"/>
          <w:szCs w:val="24"/>
          <w:lang w:val="et-EE"/>
        </w:rPr>
        <w:t xml:space="preserve"> nii, et kulud ei suureneks </w:t>
      </w:r>
      <w:r w:rsidR="003225B7" w:rsidRPr="00E30F11">
        <w:rPr>
          <w:rFonts w:ascii="Arial" w:eastAsia="DINPro" w:hAnsi="Arial" w:cs="Arial"/>
          <w:noProof/>
          <w:sz w:val="24"/>
          <w:szCs w:val="24"/>
          <w:lang w:val="et-EE"/>
        </w:rPr>
        <w:t xml:space="preserve">ning </w:t>
      </w:r>
      <w:r w:rsidR="003C0823" w:rsidRPr="00E30F11">
        <w:rPr>
          <w:rFonts w:ascii="Arial" w:eastAsia="DINPro" w:hAnsi="Arial" w:cs="Arial"/>
          <w:noProof/>
          <w:sz w:val="24"/>
          <w:szCs w:val="24"/>
          <w:lang w:val="et-EE"/>
        </w:rPr>
        <w:t xml:space="preserve">et </w:t>
      </w:r>
      <w:r w:rsidR="00E75D39" w:rsidRPr="00E30F11">
        <w:rPr>
          <w:rFonts w:ascii="Arial" w:eastAsia="DINPro" w:hAnsi="Arial" w:cs="Arial"/>
          <w:noProof/>
          <w:sz w:val="24"/>
          <w:szCs w:val="24"/>
          <w:lang w:val="et-EE"/>
        </w:rPr>
        <w:t>ettevõtted oleks</w:t>
      </w:r>
      <w:r w:rsidR="003C0823" w:rsidRPr="00E30F11">
        <w:rPr>
          <w:rFonts w:ascii="Arial" w:eastAsia="DINPro" w:hAnsi="Arial" w:cs="Arial"/>
          <w:noProof/>
          <w:sz w:val="24"/>
          <w:szCs w:val="24"/>
          <w:lang w:val="et-EE"/>
        </w:rPr>
        <w:t xml:space="preserve">id </w:t>
      </w:r>
      <w:r w:rsidR="00E75D39" w:rsidRPr="00E30F11">
        <w:rPr>
          <w:rFonts w:ascii="Arial" w:eastAsia="DINPro" w:hAnsi="Arial" w:cs="Arial"/>
          <w:noProof/>
          <w:sz w:val="24"/>
          <w:szCs w:val="24"/>
          <w:lang w:val="et-EE"/>
        </w:rPr>
        <w:t>võimalikult kaitstud lisakulude eest</w:t>
      </w:r>
      <w:r w:rsidR="003C0823" w:rsidRPr="00E30F11">
        <w:rPr>
          <w:rFonts w:ascii="Arial" w:eastAsia="DINPro" w:hAnsi="Arial" w:cs="Arial"/>
          <w:noProof/>
          <w:sz w:val="24"/>
          <w:szCs w:val="24"/>
          <w:lang w:val="et-EE"/>
        </w:rPr>
        <w:t xml:space="preserve">. </w:t>
      </w:r>
    </w:p>
    <w:p w14:paraId="0F5416ED" w14:textId="77777777" w:rsidR="00903449" w:rsidRPr="00E30F11" w:rsidRDefault="00903449" w:rsidP="00B650E5">
      <w:pPr>
        <w:pStyle w:val="ListParagraph"/>
        <w:spacing w:before="120" w:after="0" w:line="240" w:lineRule="auto"/>
        <w:ind w:left="360"/>
        <w:jc w:val="both"/>
        <w:rPr>
          <w:rFonts w:ascii="Arial" w:eastAsia="DINPro" w:hAnsi="Arial" w:cs="Arial"/>
          <w:noProof/>
          <w:sz w:val="24"/>
          <w:szCs w:val="24"/>
          <w:lang w:val="et-EE"/>
        </w:rPr>
      </w:pPr>
    </w:p>
    <w:p w14:paraId="6704DF7B" w14:textId="77777777" w:rsidR="00687EF1" w:rsidRPr="00E30F11" w:rsidRDefault="00687EF1" w:rsidP="00E30F11">
      <w:pPr>
        <w:pStyle w:val="ListParagraph"/>
        <w:spacing w:before="120" w:after="0" w:line="240" w:lineRule="auto"/>
        <w:ind w:left="360"/>
        <w:jc w:val="both"/>
        <w:rPr>
          <w:rFonts w:ascii="Arial" w:eastAsia="DINPro" w:hAnsi="Arial" w:cs="Arial"/>
          <w:noProof/>
          <w:sz w:val="24"/>
          <w:szCs w:val="24"/>
          <w:lang w:val="et-EE"/>
        </w:rPr>
      </w:pPr>
    </w:p>
    <w:p w14:paraId="09470A81" w14:textId="3789323F" w:rsidR="00216FD8" w:rsidRDefault="007507E7" w:rsidP="00D13723">
      <w:pPr>
        <w:pStyle w:val="ListParagraph"/>
        <w:numPr>
          <w:ilvl w:val="0"/>
          <w:numId w:val="2"/>
        </w:numPr>
        <w:spacing w:before="120" w:after="0" w:line="240" w:lineRule="auto"/>
        <w:jc w:val="both"/>
        <w:rPr>
          <w:rFonts w:ascii="Arial" w:eastAsia="DINPro" w:hAnsi="Arial" w:cs="Arial"/>
          <w:noProof/>
          <w:sz w:val="24"/>
          <w:szCs w:val="24"/>
          <w:lang w:val="et-EE"/>
        </w:rPr>
      </w:pPr>
      <w:r w:rsidRPr="00E30F11">
        <w:rPr>
          <w:rFonts w:ascii="Arial" w:eastAsia="DINPro" w:hAnsi="Arial" w:cs="Arial"/>
          <w:noProof/>
          <w:sz w:val="24"/>
          <w:szCs w:val="24"/>
          <w:lang w:val="et-EE"/>
        </w:rPr>
        <w:t>Juhime tähelepanu, et uus baasmääras töötuskindlustushüvitise süsteem peab motiveerima töötamist, mitte töötuna arvel olekut ja hüvitise saamist.</w:t>
      </w:r>
      <w:r w:rsidR="00EA5A79" w:rsidRPr="00E30F11">
        <w:rPr>
          <w:rFonts w:ascii="Arial" w:eastAsia="DINPro" w:hAnsi="Arial" w:cs="Arial"/>
          <w:noProof/>
          <w:sz w:val="24"/>
          <w:szCs w:val="24"/>
          <w:lang w:val="et-EE"/>
        </w:rPr>
        <w:t xml:space="preserve"> Näiteks võivad tööampsud tuua inimestele päris mõistliku sissetuleku kombineerituna </w:t>
      </w:r>
      <w:r w:rsidR="00EA5A79" w:rsidRPr="00D13723">
        <w:rPr>
          <w:rFonts w:ascii="Arial" w:eastAsia="DINPro" w:hAnsi="Arial" w:cs="Arial"/>
          <w:noProof/>
          <w:sz w:val="24"/>
          <w:szCs w:val="24"/>
          <w:lang w:val="et-EE"/>
        </w:rPr>
        <w:t>töötukindlustus</w:t>
      </w:r>
      <w:r w:rsidR="006833CE">
        <w:rPr>
          <w:rFonts w:ascii="Arial" w:eastAsia="DINPro" w:hAnsi="Arial" w:cs="Arial"/>
          <w:noProof/>
          <w:sz w:val="24"/>
          <w:szCs w:val="24"/>
          <w:lang w:val="et-EE"/>
        </w:rPr>
        <w:t>hüvitis</w:t>
      </w:r>
      <w:r w:rsidR="00EA5A79" w:rsidRPr="00D13723">
        <w:rPr>
          <w:rFonts w:ascii="Arial" w:eastAsia="DINPro" w:hAnsi="Arial" w:cs="Arial"/>
          <w:noProof/>
          <w:sz w:val="24"/>
          <w:szCs w:val="24"/>
          <w:lang w:val="et-EE"/>
        </w:rPr>
        <w:t>ega</w:t>
      </w:r>
      <w:r w:rsidR="00EA5A79" w:rsidRPr="00E30F11">
        <w:rPr>
          <w:rFonts w:ascii="Arial" w:eastAsia="DINPro" w:hAnsi="Arial" w:cs="Arial"/>
          <w:noProof/>
          <w:sz w:val="24"/>
          <w:szCs w:val="24"/>
          <w:lang w:val="et-EE"/>
        </w:rPr>
        <w:t xml:space="preserve"> </w:t>
      </w:r>
      <w:r w:rsidR="00C6750E" w:rsidRPr="00E30F11">
        <w:rPr>
          <w:rFonts w:ascii="Arial" w:eastAsia="DINPro" w:hAnsi="Arial" w:cs="Arial"/>
          <w:noProof/>
          <w:sz w:val="24"/>
          <w:szCs w:val="24"/>
          <w:lang w:val="et-EE"/>
        </w:rPr>
        <w:t>ning sellest tuleneval</w:t>
      </w:r>
      <w:r w:rsidR="006833CE">
        <w:rPr>
          <w:rFonts w:ascii="Arial" w:eastAsia="DINPro" w:hAnsi="Arial" w:cs="Arial"/>
          <w:noProof/>
          <w:sz w:val="24"/>
          <w:szCs w:val="24"/>
          <w:lang w:val="et-EE"/>
        </w:rPr>
        <w:t>t</w:t>
      </w:r>
      <w:r w:rsidR="00C6750E" w:rsidRPr="00E30F11">
        <w:rPr>
          <w:rFonts w:ascii="Arial" w:eastAsia="DINPro" w:hAnsi="Arial" w:cs="Arial"/>
          <w:noProof/>
          <w:sz w:val="24"/>
          <w:szCs w:val="24"/>
          <w:lang w:val="et-EE"/>
        </w:rPr>
        <w:t xml:space="preserve"> ei pruugi inimesed olla motiveeritud ka</w:t>
      </w:r>
      <w:r w:rsidR="00EA5A79" w:rsidRPr="00E30F11">
        <w:rPr>
          <w:rFonts w:ascii="Arial" w:eastAsia="DINPro" w:hAnsi="Arial" w:cs="Arial"/>
          <w:noProof/>
          <w:sz w:val="24"/>
          <w:szCs w:val="24"/>
          <w:lang w:val="et-EE"/>
        </w:rPr>
        <w:t xml:space="preserve"> tööle kiirustama</w:t>
      </w:r>
      <w:r w:rsidR="00C6750E" w:rsidRPr="00E30F11">
        <w:rPr>
          <w:rFonts w:ascii="Arial" w:eastAsia="DINPro" w:hAnsi="Arial" w:cs="Arial"/>
          <w:noProof/>
          <w:sz w:val="24"/>
          <w:szCs w:val="24"/>
          <w:lang w:val="et-EE"/>
        </w:rPr>
        <w:t>.</w:t>
      </w:r>
      <w:r w:rsidR="00F50DD9">
        <w:rPr>
          <w:rFonts w:ascii="Arial" w:eastAsia="DINPro" w:hAnsi="Arial" w:cs="Arial"/>
          <w:noProof/>
          <w:sz w:val="24"/>
          <w:szCs w:val="24"/>
          <w:lang w:val="et-EE"/>
        </w:rPr>
        <w:t xml:space="preserve"> </w:t>
      </w:r>
      <w:r w:rsidR="006833CE">
        <w:rPr>
          <w:rFonts w:ascii="Arial" w:eastAsia="DINPro" w:hAnsi="Arial" w:cs="Arial"/>
          <w:noProof/>
          <w:sz w:val="24"/>
          <w:szCs w:val="24"/>
          <w:lang w:val="et-EE"/>
        </w:rPr>
        <w:t>T</w:t>
      </w:r>
      <w:r w:rsidR="00F50DD9">
        <w:rPr>
          <w:rFonts w:ascii="Arial" w:eastAsia="DINPro" w:hAnsi="Arial" w:cs="Arial"/>
          <w:noProof/>
          <w:sz w:val="24"/>
          <w:szCs w:val="24"/>
          <w:lang w:val="et-EE"/>
        </w:rPr>
        <w:t>uleks</w:t>
      </w:r>
      <w:r w:rsidR="00F50DD9">
        <w:rPr>
          <w:rFonts w:ascii="Arial" w:eastAsia="DINPro" w:hAnsi="Arial" w:cs="Arial"/>
          <w:noProof/>
          <w:sz w:val="24"/>
          <w:szCs w:val="24"/>
          <w:lang w:val="et-EE"/>
        </w:rPr>
        <w:t xml:space="preserve"> kaaluda ning täiendavalt analüüsida, kas võimalikku riski </w:t>
      </w:r>
      <w:r w:rsidR="00C752A9">
        <w:rPr>
          <w:rFonts w:ascii="Arial" w:eastAsia="DINPro" w:hAnsi="Arial" w:cs="Arial"/>
          <w:noProof/>
          <w:sz w:val="24"/>
          <w:szCs w:val="24"/>
          <w:lang w:val="et-EE"/>
        </w:rPr>
        <w:t xml:space="preserve">ennetaks näiteks </w:t>
      </w:r>
      <w:r w:rsidR="00C752A9" w:rsidRPr="002A3563">
        <w:rPr>
          <w:rFonts w:ascii="Arial" w:eastAsia="DINPro" w:hAnsi="Arial" w:cs="Arial"/>
          <w:noProof/>
          <w:sz w:val="24"/>
          <w:szCs w:val="24"/>
          <w:lang w:val="et-EE"/>
        </w:rPr>
        <w:t>baasmääras töötuskindlustushüvitise süsteem</w:t>
      </w:r>
      <w:r w:rsidR="00C752A9">
        <w:rPr>
          <w:rFonts w:ascii="Arial" w:eastAsia="DINPro" w:hAnsi="Arial" w:cs="Arial"/>
          <w:noProof/>
          <w:sz w:val="24"/>
          <w:szCs w:val="24"/>
          <w:lang w:val="et-EE"/>
        </w:rPr>
        <w:t xml:space="preserve">i nõuete rangemaks tegemine. Näiteks võiks hinnata ja analüüsida, kas </w:t>
      </w:r>
      <w:r w:rsidR="00B73439" w:rsidRPr="00B73439">
        <w:rPr>
          <w:rFonts w:ascii="Arial" w:eastAsia="DINPro" w:hAnsi="Arial" w:cs="Arial"/>
          <w:noProof/>
          <w:sz w:val="24"/>
          <w:szCs w:val="24"/>
          <w:lang w:val="et-EE"/>
        </w:rPr>
        <w:t>baasmääras töötuskindlustushüvitise saamis</w:t>
      </w:r>
      <w:r w:rsidR="00B73439">
        <w:rPr>
          <w:rFonts w:ascii="Arial" w:eastAsia="DINPro" w:hAnsi="Arial" w:cs="Arial"/>
          <w:noProof/>
          <w:sz w:val="24"/>
          <w:szCs w:val="24"/>
          <w:lang w:val="et-EE"/>
        </w:rPr>
        <w:t xml:space="preserve">e piiramine või </w:t>
      </w:r>
      <w:r w:rsidR="00B73439" w:rsidRPr="00B73439">
        <w:rPr>
          <w:rFonts w:ascii="Arial" w:eastAsia="DINPro" w:hAnsi="Arial" w:cs="Arial"/>
          <w:noProof/>
          <w:sz w:val="24"/>
          <w:szCs w:val="24"/>
          <w:lang w:val="et-EE"/>
        </w:rPr>
        <w:t>baasmääras töötuskindlustushüvitise staažinõu</w:t>
      </w:r>
      <w:r w:rsidR="00B73439">
        <w:rPr>
          <w:rFonts w:ascii="Arial" w:eastAsia="DINPro" w:hAnsi="Arial" w:cs="Arial"/>
          <w:noProof/>
          <w:sz w:val="24"/>
          <w:szCs w:val="24"/>
          <w:lang w:val="et-EE"/>
        </w:rPr>
        <w:t>de pikendamine aitaks vähendada käitumusliku mõju negatiivset riski. Kaubanduskoja hinnangul</w:t>
      </w:r>
      <w:r w:rsidR="0084306F">
        <w:rPr>
          <w:rFonts w:ascii="Arial" w:eastAsia="DINPro" w:hAnsi="Arial" w:cs="Arial"/>
          <w:noProof/>
          <w:sz w:val="24"/>
          <w:szCs w:val="24"/>
          <w:lang w:val="et-EE"/>
        </w:rPr>
        <w:t xml:space="preserve"> on oluline leida lahendus ning vähendada riski, et inimesed ei ole motiveeritud taas tööle minema</w:t>
      </w:r>
      <w:r w:rsidR="009E0337">
        <w:rPr>
          <w:rFonts w:ascii="Arial" w:eastAsia="DINPro" w:hAnsi="Arial" w:cs="Arial"/>
          <w:noProof/>
          <w:sz w:val="24"/>
          <w:szCs w:val="24"/>
          <w:lang w:val="et-EE"/>
        </w:rPr>
        <w:t xml:space="preserve"> ning </w:t>
      </w:r>
      <w:r w:rsidR="009E0337" w:rsidRPr="002A3563">
        <w:rPr>
          <w:rFonts w:ascii="Arial" w:eastAsia="DINPro" w:hAnsi="Arial" w:cs="Arial"/>
          <w:noProof/>
          <w:sz w:val="24"/>
          <w:szCs w:val="24"/>
          <w:lang w:val="et-EE"/>
        </w:rPr>
        <w:t>baasmääras töötuskindlustushüvitise süsteem peab motiveerima töötami</w:t>
      </w:r>
      <w:r w:rsidR="009E0337">
        <w:rPr>
          <w:rFonts w:ascii="Arial" w:eastAsia="DINPro" w:hAnsi="Arial" w:cs="Arial"/>
          <w:noProof/>
          <w:sz w:val="24"/>
          <w:szCs w:val="24"/>
          <w:lang w:val="et-EE"/>
        </w:rPr>
        <w:t>st.</w:t>
      </w:r>
    </w:p>
    <w:p w14:paraId="71984F7E" w14:textId="77777777" w:rsidR="00D13723" w:rsidRPr="00D13723" w:rsidRDefault="00D13723" w:rsidP="00D13723">
      <w:pPr>
        <w:pStyle w:val="ListParagraph"/>
        <w:spacing w:before="120" w:after="0" w:line="240" w:lineRule="auto"/>
        <w:ind w:left="360"/>
        <w:jc w:val="both"/>
        <w:rPr>
          <w:rFonts w:ascii="Arial" w:eastAsia="DINPro" w:hAnsi="Arial" w:cs="Arial"/>
          <w:noProof/>
          <w:sz w:val="24"/>
          <w:szCs w:val="24"/>
          <w:lang w:val="et-EE"/>
        </w:rPr>
      </w:pPr>
    </w:p>
    <w:p w14:paraId="5F0BCD61" w14:textId="113D09FD" w:rsidR="00804F67" w:rsidRPr="00E30F11" w:rsidRDefault="00804F67" w:rsidP="00804F67">
      <w:pPr>
        <w:pStyle w:val="ListParagraph"/>
        <w:numPr>
          <w:ilvl w:val="0"/>
          <w:numId w:val="2"/>
        </w:numPr>
        <w:spacing w:before="120" w:after="0" w:line="240" w:lineRule="auto"/>
        <w:jc w:val="both"/>
        <w:rPr>
          <w:rFonts w:ascii="Arial" w:eastAsia="DINPro" w:hAnsi="Arial" w:cs="Arial"/>
          <w:noProof/>
          <w:sz w:val="24"/>
          <w:szCs w:val="24"/>
          <w:lang w:val="et-EE"/>
        </w:rPr>
      </w:pPr>
      <w:r w:rsidRPr="00E30F11">
        <w:rPr>
          <w:rFonts w:ascii="Arial" w:eastAsia="DINPro" w:hAnsi="Arial" w:cs="Arial"/>
          <w:noProof/>
          <w:sz w:val="24"/>
          <w:szCs w:val="24"/>
          <w:lang w:val="et-EE"/>
        </w:rPr>
        <w:t>Töötuskindlustuse seaduse eelnõu seletuskirjas lk 51 on selgitatud, et Töötuskindlustusstaaži ei ole ka uues süsteemis võimalik koguda uutel töövormidel: ettevõtluskonto omanikel, juhatuse liikmetel ja FIE-del. Kaubanduskoda soovib teada, kas</w:t>
      </w:r>
      <w:r w:rsidRPr="00E30F11">
        <w:rPr>
          <w:rFonts w:ascii="Arial" w:eastAsia="DINPro" w:hAnsi="Arial" w:cs="Arial"/>
          <w:b/>
          <w:bCs/>
          <w:noProof/>
          <w:sz w:val="24"/>
          <w:szCs w:val="24"/>
          <w:lang w:val="et-EE"/>
        </w:rPr>
        <w:t xml:space="preserve"> </w:t>
      </w:r>
      <w:r w:rsidRPr="00E30F11">
        <w:rPr>
          <w:rFonts w:ascii="Arial" w:eastAsia="DINPro" w:hAnsi="Arial" w:cs="Arial"/>
          <w:noProof/>
          <w:sz w:val="24"/>
          <w:szCs w:val="24"/>
          <w:lang w:val="et-EE"/>
        </w:rPr>
        <w:t>inimesele, kes töötab, kuid omab ka ettevõtluskontot, makstakse töölt koondamisel töötukindlustushüvitist? Sellisel juhul on isik reaalselt tööd teinud ja seeläbi ka kindlustusmakseid tasunud.</w:t>
      </w:r>
      <w:r w:rsidRPr="00E30F11">
        <w:rPr>
          <w:rFonts w:ascii="Arial" w:eastAsia="DINPro" w:hAnsi="Arial" w:cs="Arial"/>
          <w:b/>
          <w:bCs/>
          <w:noProof/>
          <w:sz w:val="24"/>
          <w:szCs w:val="24"/>
          <w:lang w:val="et-EE"/>
        </w:rPr>
        <w:t xml:space="preserve"> </w:t>
      </w:r>
    </w:p>
    <w:p w14:paraId="668EAEDD" w14:textId="77777777" w:rsidR="00216FD8" w:rsidRPr="00E30F11" w:rsidRDefault="00216FD8" w:rsidP="00216FD8">
      <w:pPr>
        <w:spacing w:before="120" w:after="0" w:line="240" w:lineRule="auto"/>
        <w:jc w:val="both"/>
        <w:rPr>
          <w:rFonts w:ascii="Arial" w:eastAsia="DINPro" w:hAnsi="Arial" w:cs="Arial"/>
          <w:noProof/>
          <w:sz w:val="24"/>
          <w:szCs w:val="24"/>
          <w:lang w:val="et-EE"/>
        </w:rPr>
      </w:pPr>
    </w:p>
    <w:p w14:paraId="7F80EBB8" w14:textId="77777777" w:rsidR="00216FD8" w:rsidRPr="00E30F11" w:rsidRDefault="00216FD8" w:rsidP="00216FD8">
      <w:pPr>
        <w:spacing w:before="120" w:after="0" w:line="240" w:lineRule="auto"/>
        <w:jc w:val="both"/>
        <w:rPr>
          <w:rFonts w:ascii="Arial" w:eastAsia="DINPro" w:hAnsi="Arial" w:cs="Arial"/>
          <w:noProof/>
          <w:sz w:val="24"/>
          <w:szCs w:val="24"/>
          <w:lang w:val="et-EE"/>
        </w:rPr>
      </w:pPr>
    </w:p>
    <w:p w14:paraId="6CC82346" w14:textId="77777777" w:rsidR="00151261" w:rsidRPr="00E30F11" w:rsidRDefault="00151261" w:rsidP="00151261">
      <w:pPr>
        <w:spacing w:before="120" w:after="0" w:line="240" w:lineRule="auto"/>
        <w:jc w:val="both"/>
        <w:rPr>
          <w:rFonts w:ascii="Arial" w:eastAsia="DINPro" w:hAnsi="Arial" w:cs="Arial"/>
          <w:noProof/>
          <w:sz w:val="24"/>
          <w:szCs w:val="24"/>
          <w:lang w:val="et-EE"/>
        </w:rPr>
      </w:pPr>
    </w:p>
    <w:p w14:paraId="5039B566" w14:textId="77777777" w:rsidR="00804F67" w:rsidRPr="00E30F11" w:rsidRDefault="00804F67" w:rsidP="00151261">
      <w:pPr>
        <w:spacing w:before="120" w:after="0" w:line="240" w:lineRule="auto"/>
        <w:jc w:val="both"/>
        <w:rPr>
          <w:rFonts w:ascii="Arial" w:eastAsia="DINPro" w:hAnsi="Arial" w:cs="Arial"/>
          <w:noProof/>
          <w:sz w:val="24"/>
          <w:szCs w:val="24"/>
          <w:lang w:val="et-EE"/>
        </w:rPr>
      </w:pPr>
    </w:p>
    <w:p w14:paraId="54FE1EC1" w14:textId="77777777" w:rsidR="00151261" w:rsidRPr="00E30F11" w:rsidRDefault="00151261" w:rsidP="00151261">
      <w:pPr>
        <w:spacing w:after="0" w:line="240" w:lineRule="auto"/>
        <w:rPr>
          <w:rFonts w:ascii="Arial" w:hAnsi="Arial" w:cs="Arial"/>
          <w:noProof/>
          <w:sz w:val="24"/>
          <w:szCs w:val="24"/>
          <w:lang w:val="et-EE" w:eastAsia="et-EE"/>
        </w:rPr>
      </w:pPr>
      <w:r w:rsidRPr="00E30F11">
        <w:rPr>
          <w:rFonts w:ascii="Arial" w:hAnsi="Arial" w:cs="Arial"/>
          <w:noProof/>
          <w:sz w:val="24"/>
          <w:szCs w:val="24"/>
          <w:lang w:val="et-EE" w:eastAsia="et-EE"/>
        </w:rPr>
        <w:t>Lugupidamisega</w:t>
      </w:r>
    </w:p>
    <w:p w14:paraId="33EEA25D" w14:textId="77777777" w:rsidR="00151261" w:rsidRPr="00E30F11" w:rsidRDefault="00151261" w:rsidP="00151261">
      <w:pPr>
        <w:spacing w:after="0" w:line="240" w:lineRule="auto"/>
        <w:rPr>
          <w:rFonts w:ascii="Arial" w:hAnsi="Arial" w:cs="Arial"/>
          <w:noProof/>
          <w:sz w:val="24"/>
          <w:szCs w:val="24"/>
          <w:lang w:val="et-EE" w:eastAsia="et-EE"/>
        </w:rPr>
      </w:pPr>
    </w:p>
    <w:p w14:paraId="64D791DD" w14:textId="77777777" w:rsidR="00151261" w:rsidRPr="00E30F11" w:rsidRDefault="00151261" w:rsidP="00151261">
      <w:pPr>
        <w:spacing w:after="0" w:line="240" w:lineRule="auto"/>
        <w:rPr>
          <w:rFonts w:ascii="Arial" w:hAnsi="Arial" w:cs="Arial"/>
          <w:noProof/>
          <w:sz w:val="24"/>
          <w:szCs w:val="24"/>
          <w:lang w:val="et-EE" w:eastAsia="et-EE"/>
        </w:rPr>
      </w:pPr>
      <w:r w:rsidRPr="00E30F11">
        <w:rPr>
          <w:rFonts w:ascii="Arial" w:hAnsi="Arial" w:cs="Arial"/>
          <w:noProof/>
          <w:sz w:val="24"/>
          <w:szCs w:val="24"/>
          <w:lang w:val="et-EE" w:eastAsia="et-EE"/>
        </w:rPr>
        <w:t>/allkirjastatud digitaalselt/</w:t>
      </w:r>
    </w:p>
    <w:p w14:paraId="3D03C173" w14:textId="77777777" w:rsidR="00151261" w:rsidRPr="00E30F11" w:rsidRDefault="00151261" w:rsidP="00151261">
      <w:pPr>
        <w:spacing w:after="0" w:line="240" w:lineRule="auto"/>
        <w:rPr>
          <w:rFonts w:ascii="Arial" w:hAnsi="Arial" w:cs="Arial"/>
          <w:noProof/>
          <w:sz w:val="24"/>
          <w:szCs w:val="24"/>
          <w:lang w:val="et-EE" w:eastAsia="et-EE"/>
        </w:rPr>
      </w:pPr>
      <w:r w:rsidRPr="00E30F11">
        <w:rPr>
          <w:rFonts w:ascii="Arial" w:hAnsi="Arial" w:cs="Arial"/>
          <w:noProof/>
          <w:sz w:val="24"/>
          <w:szCs w:val="24"/>
          <w:lang w:val="et-EE" w:eastAsia="et-EE"/>
        </w:rPr>
        <w:t>Mait Palts</w:t>
      </w:r>
    </w:p>
    <w:p w14:paraId="54211D69" w14:textId="77777777" w:rsidR="00151261" w:rsidRPr="00E30F11" w:rsidRDefault="00151261" w:rsidP="00151261">
      <w:pPr>
        <w:spacing w:after="0" w:line="240" w:lineRule="auto"/>
        <w:rPr>
          <w:rFonts w:ascii="Arial" w:hAnsi="Arial" w:cs="Arial"/>
          <w:noProof/>
          <w:sz w:val="24"/>
          <w:szCs w:val="24"/>
          <w:lang w:val="et-EE" w:eastAsia="et-EE"/>
        </w:rPr>
      </w:pPr>
      <w:r w:rsidRPr="00E30F11">
        <w:rPr>
          <w:rFonts w:ascii="Arial" w:hAnsi="Arial" w:cs="Arial"/>
          <w:noProof/>
          <w:sz w:val="24"/>
          <w:szCs w:val="24"/>
          <w:lang w:val="et-EE" w:eastAsia="et-EE"/>
        </w:rPr>
        <w:t>Peadirektor</w:t>
      </w:r>
    </w:p>
    <w:p w14:paraId="15722DAC" w14:textId="77777777" w:rsidR="00151261" w:rsidRPr="00E30F11" w:rsidRDefault="00151261" w:rsidP="00151261">
      <w:pPr>
        <w:spacing w:after="0" w:line="240" w:lineRule="auto"/>
        <w:rPr>
          <w:rFonts w:ascii="Arial" w:hAnsi="Arial" w:cs="Arial"/>
          <w:noProof/>
          <w:sz w:val="24"/>
          <w:szCs w:val="24"/>
          <w:lang w:val="et-EE" w:eastAsia="et-EE"/>
        </w:rPr>
      </w:pPr>
    </w:p>
    <w:p w14:paraId="584EE1DF" w14:textId="77777777" w:rsidR="00151261" w:rsidRPr="00E30F11" w:rsidRDefault="00151261" w:rsidP="00151261">
      <w:pPr>
        <w:spacing w:after="0" w:line="240" w:lineRule="auto"/>
        <w:rPr>
          <w:rFonts w:ascii="Arial" w:hAnsi="Arial" w:cs="Arial"/>
          <w:noProof/>
          <w:sz w:val="24"/>
          <w:szCs w:val="24"/>
          <w:lang w:val="et-EE" w:eastAsia="et-EE"/>
        </w:rPr>
      </w:pPr>
    </w:p>
    <w:p w14:paraId="653BFF4D" w14:textId="77777777" w:rsidR="00151261" w:rsidRPr="00E30F11" w:rsidRDefault="00151261" w:rsidP="00151261">
      <w:pPr>
        <w:spacing w:after="0" w:line="240" w:lineRule="auto"/>
        <w:rPr>
          <w:rFonts w:ascii="Arial" w:hAnsi="Arial" w:cs="Arial"/>
          <w:noProof/>
          <w:sz w:val="24"/>
          <w:szCs w:val="24"/>
          <w:lang w:val="et-EE" w:eastAsia="et-EE"/>
        </w:rPr>
      </w:pPr>
    </w:p>
    <w:p w14:paraId="49BE1E44" w14:textId="77777777" w:rsidR="00151261" w:rsidRPr="00E30F11" w:rsidRDefault="00151261" w:rsidP="00151261">
      <w:pPr>
        <w:spacing w:after="0" w:line="240" w:lineRule="auto"/>
        <w:rPr>
          <w:rFonts w:ascii="Arial" w:hAnsi="Arial" w:cs="Arial"/>
          <w:noProof/>
          <w:sz w:val="24"/>
          <w:szCs w:val="24"/>
          <w:lang w:val="et-EE" w:eastAsia="et-EE"/>
        </w:rPr>
      </w:pPr>
    </w:p>
    <w:p w14:paraId="1D9BE2C2" w14:textId="77777777" w:rsidR="00151261" w:rsidRPr="00E30F11" w:rsidRDefault="00151261" w:rsidP="00151261">
      <w:pPr>
        <w:spacing w:after="0" w:line="240" w:lineRule="auto"/>
        <w:rPr>
          <w:rFonts w:ascii="Arial" w:hAnsi="Arial" w:cs="Arial"/>
          <w:noProof/>
          <w:sz w:val="24"/>
          <w:szCs w:val="24"/>
          <w:lang w:val="et-EE" w:eastAsia="et-EE"/>
        </w:rPr>
      </w:pPr>
    </w:p>
    <w:p w14:paraId="0056EDF8" w14:textId="77777777" w:rsidR="00151261" w:rsidRPr="00E30F11" w:rsidRDefault="00151261" w:rsidP="00151261">
      <w:pPr>
        <w:spacing w:after="0" w:line="240" w:lineRule="auto"/>
        <w:rPr>
          <w:rFonts w:ascii="Arial" w:hAnsi="Arial" w:cs="Arial"/>
          <w:noProof/>
          <w:sz w:val="24"/>
          <w:szCs w:val="24"/>
          <w:lang w:val="et-EE" w:eastAsia="et-EE"/>
        </w:rPr>
      </w:pPr>
    </w:p>
    <w:p w14:paraId="3FAA2B7C" w14:textId="0FBC9662" w:rsidR="002E25D2" w:rsidRPr="00E30F11" w:rsidRDefault="00151261">
      <w:pPr>
        <w:rPr>
          <w:noProof/>
          <w:lang w:val="et-EE"/>
        </w:rPr>
      </w:pPr>
      <w:r w:rsidRPr="00E30F11">
        <w:rPr>
          <w:rFonts w:ascii="Arial" w:hAnsi="Arial" w:cs="Arial"/>
          <w:noProof/>
          <w:sz w:val="24"/>
          <w:szCs w:val="24"/>
          <w:lang w:val="et-EE" w:eastAsia="et-EE"/>
        </w:rPr>
        <w:t xml:space="preserve">Ireen Tarto </w:t>
      </w:r>
      <w:hyperlink r:id="rId9" w:history="1">
        <w:r w:rsidRPr="00E30F11">
          <w:rPr>
            <w:rStyle w:val="Hyperlink"/>
            <w:rFonts w:ascii="Arial" w:hAnsi="Arial" w:cs="Arial"/>
            <w:noProof/>
            <w:sz w:val="24"/>
            <w:szCs w:val="24"/>
            <w:lang w:val="et-EE" w:eastAsia="et-EE"/>
          </w:rPr>
          <w:t>ireen.tarto@koda.ee</w:t>
        </w:r>
      </w:hyperlink>
      <w:r w:rsidRPr="00E30F11">
        <w:rPr>
          <w:rFonts w:ascii="Arial" w:hAnsi="Arial" w:cs="Arial"/>
          <w:noProof/>
          <w:sz w:val="24"/>
          <w:szCs w:val="24"/>
          <w:lang w:val="et-EE" w:eastAsia="et-EE"/>
        </w:rPr>
        <w:t xml:space="preserve"> </w:t>
      </w:r>
    </w:p>
    <w:sectPr w:rsidR="002E25D2" w:rsidRPr="00E30F11" w:rsidSect="00DD09FB">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AD994" w14:textId="77777777" w:rsidR="00DD09FB" w:rsidRDefault="00DD09FB">
      <w:pPr>
        <w:spacing w:after="0" w:line="240" w:lineRule="auto"/>
      </w:pPr>
      <w:r>
        <w:separator/>
      </w:r>
    </w:p>
  </w:endnote>
  <w:endnote w:type="continuationSeparator" w:id="0">
    <w:p w14:paraId="268D8B2E" w14:textId="77777777" w:rsidR="00DD09FB" w:rsidRDefault="00DD09FB">
      <w:pPr>
        <w:spacing w:after="0" w:line="240" w:lineRule="auto"/>
      </w:pPr>
      <w:r>
        <w:continuationSeparator/>
      </w:r>
    </w:p>
  </w:endnote>
  <w:endnote w:type="continuationNotice" w:id="1">
    <w:p w14:paraId="558BA6B3" w14:textId="77777777" w:rsidR="00730864" w:rsidRDefault="007308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AFE4" w14:textId="77777777" w:rsidR="0011451E" w:rsidRPr="00FF0918" w:rsidRDefault="00D71F2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7205872E" w14:textId="77777777" w:rsidR="0011451E" w:rsidRPr="00FF0918" w:rsidRDefault="00D71F2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EACE7" w14:textId="77777777" w:rsidR="0011451E" w:rsidRPr="00BF3929" w:rsidRDefault="00D71F2F"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7DC134D" w14:textId="77777777" w:rsidR="0011451E" w:rsidRPr="00BF3929" w:rsidRDefault="00D71F2F"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3AA6" w14:textId="77777777" w:rsidR="00DD09FB" w:rsidRDefault="00DD09FB">
      <w:pPr>
        <w:spacing w:after="0" w:line="240" w:lineRule="auto"/>
      </w:pPr>
      <w:r>
        <w:separator/>
      </w:r>
    </w:p>
  </w:footnote>
  <w:footnote w:type="continuationSeparator" w:id="0">
    <w:p w14:paraId="48767C38" w14:textId="77777777" w:rsidR="00DD09FB" w:rsidRDefault="00DD09FB">
      <w:pPr>
        <w:spacing w:after="0" w:line="240" w:lineRule="auto"/>
      </w:pPr>
      <w:r>
        <w:continuationSeparator/>
      </w:r>
    </w:p>
  </w:footnote>
  <w:footnote w:type="continuationNotice" w:id="1">
    <w:p w14:paraId="79149B74" w14:textId="77777777" w:rsidR="00730864" w:rsidRDefault="007308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18A13" w14:textId="77777777" w:rsidR="0011451E" w:rsidRDefault="00D71F2F" w:rsidP="00C0691C">
    <w:pPr>
      <w:pStyle w:val="Header"/>
    </w:pPr>
    <w:r w:rsidRPr="00D30DF8">
      <w:rPr>
        <w:noProof/>
        <w:lang w:val="et-EE" w:eastAsia="et-EE"/>
      </w:rPr>
      <w:drawing>
        <wp:anchor distT="0" distB="0" distL="114300" distR="114300" simplePos="0" relativeHeight="251658243" behindDoc="0" locked="0" layoutInCell="1" allowOverlap="1" wp14:anchorId="36074E2A" wp14:editId="514E73C1">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49BB8C6D" wp14:editId="3B071F38">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0955D9"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3D9AC468" w14:textId="77777777" w:rsidR="0011451E" w:rsidRPr="00C0691C" w:rsidRDefault="0011451E"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E157" w14:textId="77777777" w:rsidR="0011451E" w:rsidRDefault="00D71F2F">
    <w:pPr>
      <w:pStyle w:val="Header"/>
    </w:pPr>
    <w:r w:rsidRPr="00D30DF8">
      <w:rPr>
        <w:noProof/>
        <w:lang w:val="et-EE" w:eastAsia="et-EE"/>
      </w:rPr>
      <w:drawing>
        <wp:anchor distT="0" distB="0" distL="114300" distR="114300" simplePos="0" relativeHeight="251658242" behindDoc="0" locked="0" layoutInCell="1" allowOverlap="1" wp14:anchorId="1B457738" wp14:editId="52FB6AF2">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1242AA52" wp14:editId="228CCE8D">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B4E4C4"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50B5E"/>
    <w:multiLevelType w:val="hybridMultilevel"/>
    <w:tmpl w:val="76925842"/>
    <w:lvl w:ilvl="0" w:tplc="42AC2218">
      <w:start w:val="1"/>
      <w:numFmt w:val="decimal"/>
      <w:lvlText w:val="%1)"/>
      <w:lvlJc w:val="left"/>
      <w:pPr>
        <w:ind w:left="1020" w:hanging="360"/>
      </w:pPr>
    </w:lvl>
    <w:lvl w:ilvl="1" w:tplc="413CF6EC">
      <w:start w:val="1"/>
      <w:numFmt w:val="decimal"/>
      <w:lvlText w:val="%2)"/>
      <w:lvlJc w:val="left"/>
      <w:pPr>
        <w:ind w:left="1020" w:hanging="360"/>
      </w:pPr>
    </w:lvl>
    <w:lvl w:ilvl="2" w:tplc="49D6F070">
      <w:start w:val="1"/>
      <w:numFmt w:val="decimal"/>
      <w:lvlText w:val="%3)"/>
      <w:lvlJc w:val="left"/>
      <w:pPr>
        <w:ind w:left="1020" w:hanging="360"/>
      </w:pPr>
    </w:lvl>
    <w:lvl w:ilvl="3" w:tplc="8152B2EE">
      <w:start w:val="1"/>
      <w:numFmt w:val="decimal"/>
      <w:lvlText w:val="%4)"/>
      <w:lvlJc w:val="left"/>
      <w:pPr>
        <w:ind w:left="1020" w:hanging="360"/>
      </w:pPr>
    </w:lvl>
    <w:lvl w:ilvl="4" w:tplc="CEB6ADC4">
      <w:start w:val="1"/>
      <w:numFmt w:val="decimal"/>
      <w:lvlText w:val="%5)"/>
      <w:lvlJc w:val="left"/>
      <w:pPr>
        <w:ind w:left="1020" w:hanging="360"/>
      </w:pPr>
    </w:lvl>
    <w:lvl w:ilvl="5" w:tplc="AD4E1DFC">
      <w:start w:val="1"/>
      <w:numFmt w:val="decimal"/>
      <w:lvlText w:val="%6)"/>
      <w:lvlJc w:val="left"/>
      <w:pPr>
        <w:ind w:left="1020" w:hanging="360"/>
      </w:pPr>
    </w:lvl>
    <w:lvl w:ilvl="6" w:tplc="CA5A61DA">
      <w:start w:val="1"/>
      <w:numFmt w:val="decimal"/>
      <w:lvlText w:val="%7)"/>
      <w:lvlJc w:val="left"/>
      <w:pPr>
        <w:ind w:left="1020" w:hanging="360"/>
      </w:pPr>
    </w:lvl>
    <w:lvl w:ilvl="7" w:tplc="8384C2A0">
      <w:start w:val="1"/>
      <w:numFmt w:val="decimal"/>
      <w:lvlText w:val="%8)"/>
      <w:lvlJc w:val="left"/>
      <w:pPr>
        <w:ind w:left="1020" w:hanging="360"/>
      </w:pPr>
    </w:lvl>
    <w:lvl w:ilvl="8" w:tplc="F46ED976">
      <w:start w:val="1"/>
      <w:numFmt w:val="decimal"/>
      <w:lvlText w:val="%9)"/>
      <w:lvlJc w:val="left"/>
      <w:pPr>
        <w:ind w:left="1020" w:hanging="360"/>
      </w:pPr>
    </w:lvl>
  </w:abstractNum>
  <w:abstractNum w:abstractNumId="1" w15:restartNumberingAfterBreak="0">
    <w:nsid w:val="545468F2"/>
    <w:multiLevelType w:val="hybridMultilevel"/>
    <w:tmpl w:val="9B241E5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721321DD"/>
    <w:multiLevelType w:val="hybridMultilevel"/>
    <w:tmpl w:val="CD18AE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01484958">
    <w:abstractNumId w:val="2"/>
  </w:num>
  <w:num w:numId="2" w16cid:durableId="1678144554">
    <w:abstractNumId w:val="1"/>
  </w:num>
  <w:num w:numId="3" w16cid:durableId="235281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61"/>
    <w:rsid w:val="0006307F"/>
    <w:rsid w:val="000E6207"/>
    <w:rsid w:val="0011451E"/>
    <w:rsid w:val="00121729"/>
    <w:rsid w:val="00151261"/>
    <w:rsid w:val="00177012"/>
    <w:rsid w:val="001B692E"/>
    <w:rsid w:val="001C38B5"/>
    <w:rsid w:val="001D528A"/>
    <w:rsid w:val="00216FD8"/>
    <w:rsid w:val="00262C27"/>
    <w:rsid w:val="00283131"/>
    <w:rsid w:val="002E25D2"/>
    <w:rsid w:val="002E4AAB"/>
    <w:rsid w:val="003062E7"/>
    <w:rsid w:val="00315DC6"/>
    <w:rsid w:val="00320B6D"/>
    <w:rsid w:val="003225B7"/>
    <w:rsid w:val="00350D75"/>
    <w:rsid w:val="00352DDE"/>
    <w:rsid w:val="003C0823"/>
    <w:rsid w:val="00432F65"/>
    <w:rsid w:val="004A4978"/>
    <w:rsid w:val="004B3A58"/>
    <w:rsid w:val="00563B20"/>
    <w:rsid w:val="00587BDD"/>
    <w:rsid w:val="006117D7"/>
    <w:rsid w:val="006833CE"/>
    <w:rsid w:val="00687EF1"/>
    <w:rsid w:val="006C27D7"/>
    <w:rsid w:val="00715D56"/>
    <w:rsid w:val="00730864"/>
    <w:rsid w:val="00742BD2"/>
    <w:rsid w:val="007507E7"/>
    <w:rsid w:val="007560B9"/>
    <w:rsid w:val="00791A12"/>
    <w:rsid w:val="007C2853"/>
    <w:rsid w:val="00801418"/>
    <w:rsid w:val="00804F67"/>
    <w:rsid w:val="0084306F"/>
    <w:rsid w:val="00903449"/>
    <w:rsid w:val="009640D1"/>
    <w:rsid w:val="009814A1"/>
    <w:rsid w:val="009D29B1"/>
    <w:rsid w:val="009E0337"/>
    <w:rsid w:val="009F085B"/>
    <w:rsid w:val="00AC6ED8"/>
    <w:rsid w:val="00AF6BE8"/>
    <w:rsid w:val="00B650E5"/>
    <w:rsid w:val="00B73439"/>
    <w:rsid w:val="00BA61FA"/>
    <w:rsid w:val="00BC027A"/>
    <w:rsid w:val="00BD4853"/>
    <w:rsid w:val="00BE718C"/>
    <w:rsid w:val="00C52F05"/>
    <w:rsid w:val="00C6750E"/>
    <w:rsid w:val="00C752A9"/>
    <w:rsid w:val="00CB4B7A"/>
    <w:rsid w:val="00D13723"/>
    <w:rsid w:val="00D3353E"/>
    <w:rsid w:val="00D44516"/>
    <w:rsid w:val="00D65C11"/>
    <w:rsid w:val="00D71F2F"/>
    <w:rsid w:val="00DD09FB"/>
    <w:rsid w:val="00E30F11"/>
    <w:rsid w:val="00E71528"/>
    <w:rsid w:val="00E75D39"/>
    <w:rsid w:val="00EA5A79"/>
    <w:rsid w:val="00ED109F"/>
    <w:rsid w:val="00EE41CB"/>
    <w:rsid w:val="00F5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3ADC"/>
  <w15:chartTrackingRefBased/>
  <w15:docId w15:val="{E1DB0F9F-CDCF-4426-B1E5-6C3B4051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61"/>
    <w:rPr>
      <w:kern w:val="0"/>
      <w14:ligatures w14:val="none"/>
    </w:rPr>
  </w:style>
  <w:style w:type="paragraph" w:styleId="Heading1">
    <w:name w:val="heading 1"/>
    <w:basedOn w:val="Normal"/>
    <w:next w:val="Normal"/>
    <w:link w:val="Heading1Char"/>
    <w:uiPriority w:val="9"/>
    <w:qFormat/>
    <w:rsid w:val="00151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1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12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12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12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12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12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12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12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261"/>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151261"/>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151261"/>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151261"/>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151261"/>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151261"/>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151261"/>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151261"/>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151261"/>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151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1261"/>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1512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1261"/>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151261"/>
    <w:pPr>
      <w:spacing w:before="160"/>
      <w:jc w:val="center"/>
    </w:pPr>
    <w:rPr>
      <w:i/>
      <w:iCs/>
      <w:color w:val="404040" w:themeColor="text1" w:themeTint="BF"/>
    </w:rPr>
  </w:style>
  <w:style w:type="character" w:customStyle="1" w:styleId="QuoteChar">
    <w:name w:val="Quote Char"/>
    <w:basedOn w:val="DefaultParagraphFont"/>
    <w:link w:val="Quote"/>
    <w:uiPriority w:val="29"/>
    <w:rsid w:val="00151261"/>
    <w:rPr>
      <w:i/>
      <w:iCs/>
      <w:color w:val="404040" w:themeColor="text1" w:themeTint="BF"/>
      <w:lang w:val="et-EE"/>
    </w:rPr>
  </w:style>
  <w:style w:type="paragraph" w:styleId="ListParagraph">
    <w:name w:val="List Paragraph"/>
    <w:basedOn w:val="Normal"/>
    <w:uiPriority w:val="34"/>
    <w:qFormat/>
    <w:rsid w:val="00151261"/>
    <w:pPr>
      <w:ind w:left="720"/>
      <w:contextualSpacing/>
    </w:pPr>
  </w:style>
  <w:style w:type="character" w:styleId="IntenseEmphasis">
    <w:name w:val="Intense Emphasis"/>
    <w:basedOn w:val="DefaultParagraphFont"/>
    <w:uiPriority w:val="21"/>
    <w:qFormat/>
    <w:rsid w:val="00151261"/>
    <w:rPr>
      <w:i/>
      <w:iCs/>
      <w:color w:val="0F4761" w:themeColor="accent1" w:themeShade="BF"/>
    </w:rPr>
  </w:style>
  <w:style w:type="paragraph" w:styleId="IntenseQuote">
    <w:name w:val="Intense Quote"/>
    <w:basedOn w:val="Normal"/>
    <w:next w:val="Normal"/>
    <w:link w:val="IntenseQuoteChar"/>
    <w:uiPriority w:val="30"/>
    <w:qFormat/>
    <w:rsid w:val="00151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1261"/>
    <w:rPr>
      <w:i/>
      <w:iCs/>
      <w:color w:val="0F4761" w:themeColor="accent1" w:themeShade="BF"/>
      <w:lang w:val="et-EE"/>
    </w:rPr>
  </w:style>
  <w:style w:type="character" w:styleId="IntenseReference">
    <w:name w:val="Intense Reference"/>
    <w:basedOn w:val="DefaultParagraphFont"/>
    <w:uiPriority w:val="32"/>
    <w:qFormat/>
    <w:rsid w:val="00151261"/>
    <w:rPr>
      <w:b/>
      <w:bCs/>
      <w:smallCaps/>
      <w:color w:val="0F4761" w:themeColor="accent1" w:themeShade="BF"/>
      <w:spacing w:val="5"/>
    </w:rPr>
  </w:style>
  <w:style w:type="paragraph" w:styleId="Header">
    <w:name w:val="header"/>
    <w:basedOn w:val="Normal"/>
    <w:link w:val="HeaderChar"/>
    <w:uiPriority w:val="99"/>
    <w:unhideWhenUsed/>
    <w:rsid w:val="00151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261"/>
    <w:rPr>
      <w:kern w:val="0"/>
      <w14:ligatures w14:val="none"/>
    </w:rPr>
  </w:style>
  <w:style w:type="paragraph" w:styleId="Footer">
    <w:name w:val="footer"/>
    <w:basedOn w:val="Normal"/>
    <w:link w:val="FooterChar"/>
    <w:uiPriority w:val="99"/>
    <w:unhideWhenUsed/>
    <w:rsid w:val="00151261"/>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151261"/>
    <w:rPr>
      <w:kern w:val="0"/>
      <w:sz w:val="16"/>
      <w14:ligatures w14:val="none"/>
    </w:rPr>
  </w:style>
  <w:style w:type="character" w:styleId="Hyperlink">
    <w:name w:val="Hyperlink"/>
    <w:basedOn w:val="DefaultParagraphFont"/>
    <w:uiPriority w:val="99"/>
    <w:unhideWhenUsed/>
    <w:rsid w:val="00151261"/>
    <w:rPr>
      <w:color w:val="467886" w:themeColor="hyperlink"/>
      <w:u w:val="single"/>
    </w:rPr>
  </w:style>
  <w:style w:type="character" w:styleId="UnresolvedMention">
    <w:name w:val="Unresolved Mention"/>
    <w:basedOn w:val="DefaultParagraphFont"/>
    <w:uiPriority w:val="99"/>
    <w:semiHidden/>
    <w:unhideWhenUsed/>
    <w:rsid w:val="00151261"/>
    <w:rPr>
      <w:color w:val="605E5C"/>
      <w:shd w:val="clear" w:color="auto" w:fill="E1DFDD"/>
    </w:rPr>
  </w:style>
  <w:style w:type="character" w:styleId="CommentReference">
    <w:name w:val="annotation reference"/>
    <w:basedOn w:val="DefaultParagraphFont"/>
    <w:uiPriority w:val="99"/>
    <w:semiHidden/>
    <w:unhideWhenUsed/>
    <w:rsid w:val="001D528A"/>
    <w:rPr>
      <w:sz w:val="16"/>
      <w:szCs w:val="16"/>
    </w:rPr>
  </w:style>
  <w:style w:type="paragraph" w:styleId="CommentText">
    <w:name w:val="annotation text"/>
    <w:basedOn w:val="Normal"/>
    <w:link w:val="CommentTextChar"/>
    <w:uiPriority w:val="99"/>
    <w:unhideWhenUsed/>
    <w:rsid w:val="001D528A"/>
    <w:pPr>
      <w:spacing w:line="240" w:lineRule="auto"/>
    </w:pPr>
    <w:rPr>
      <w:sz w:val="20"/>
      <w:szCs w:val="20"/>
    </w:rPr>
  </w:style>
  <w:style w:type="character" w:customStyle="1" w:styleId="CommentTextChar">
    <w:name w:val="Comment Text Char"/>
    <w:basedOn w:val="DefaultParagraphFont"/>
    <w:link w:val="CommentText"/>
    <w:uiPriority w:val="99"/>
    <w:rsid w:val="001D528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D528A"/>
    <w:rPr>
      <w:b/>
      <w:bCs/>
    </w:rPr>
  </w:style>
  <w:style w:type="character" w:customStyle="1" w:styleId="CommentSubjectChar">
    <w:name w:val="Comment Subject Char"/>
    <w:basedOn w:val="CommentTextChar"/>
    <w:link w:val="CommentSubject"/>
    <w:uiPriority w:val="99"/>
    <w:semiHidden/>
    <w:rsid w:val="001D528A"/>
    <w:rPr>
      <w:b/>
      <w:bCs/>
      <w:kern w:val="0"/>
      <w:sz w:val="20"/>
      <w:szCs w:val="20"/>
      <w14:ligatures w14:val="none"/>
    </w:rPr>
  </w:style>
  <w:style w:type="paragraph" w:styleId="Revision">
    <w:name w:val="Revision"/>
    <w:hidden/>
    <w:uiPriority w:val="99"/>
    <w:semiHidden/>
    <w:rsid w:val="007560B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8554">
      <w:bodyDiv w:val="1"/>
      <w:marLeft w:val="0"/>
      <w:marRight w:val="0"/>
      <w:marTop w:val="0"/>
      <w:marBottom w:val="0"/>
      <w:divBdr>
        <w:top w:val="none" w:sz="0" w:space="0" w:color="auto"/>
        <w:left w:val="none" w:sz="0" w:space="0" w:color="auto"/>
        <w:bottom w:val="none" w:sz="0" w:space="0" w:color="auto"/>
        <w:right w:val="none" w:sz="0" w:space="0" w:color="auto"/>
      </w:divBdr>
    </w:div>
    <w:div w:id="51664674">
      <w:bodyDiv w:val="1"/>
      <w:marLeft w:val="0"/>
      <w:marRight w:val="0"/>
      <w:marTop w:val="0"/>
      <w:marBottom w:val="0"/>
      <w:divBdr>
        <w:top w:val="none" w:sz="0" w:space="0" w:color="auto"/>
        <w:left w:val="none" w:sz="0" w:space="0" w:color="auto"/>
        <w:bottom w:val="none" w:sz="0" w:space="0" w:color="auto"/>
        <w:right w:val="none" w:sz="0" w:space="0" w:color="auto"/>
      </w:divBdr>
    </w:div>
    <w:div w:id="377165546">
      <w:bodyDiv w:val="1"/>
      <w:marLeft w:val="0"/>
      <w:marRight w:val="0"/>
      <w:marTop w:val="0"/>
      <w:marBottom w:val="0"/>
      <w:divBdr>
        <w:top w:val="none" w:sz="0" w:space="0" w:color="auto"/>
        <w:left w:val="none" w:sz="0" w:space="0" w:color="auto"/>
        <w:bottom w:val="none" w:sz="0" w:space="0" w:color="auto"/>
        <w:right w:val="none" w:sz="0" w:space="0" w:color="auto"/>
      </w:divBdr>
    </w:div>
    <w:div w:id="792362411">
      <w:bodyDiv w:val="1"/>
      <w:marLeft w:val="0"/>
      <w:marRight w:val="0"/>
      <w:marTop w:val="0"/>
      <w:marBottom w:val="0"/>
      <w:divBdr>
        <w:top w:val="none" w:sz="0" w:space="0" w:color="auto"/>
        <w:left w:val="none" w:sz="0" w:space="0" w:color="auto"/>
        <w:bottom w:val="none" w:sz="0" w:space="0" w:color="auto"/>
        <w:right w:val="none" w:sz="0" w:space="0" w:color="auto"/>
      </w:divBdr>
    </w:div>
    <w:div w:id="14241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een.tarto@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AE04A-0A90-455C-8C1F-3020052D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2</cp:revision>
  <dcterms:created xsi:type="dcterms:W3CDTF">2024-05-07T08:56:00Z</dcterms:created>
  <dcterms:modified xsi:type="dcterms:W3CDTF">2024-05-07T08:56:00Z</dcterms:modified>
</cp:coreProperties>
</file>